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Ind w:w="-106" w:type="dxa"/>
        <w:tblBorders>
          <w:bottom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1559"/>
        <w:gridCol w:w="4042"/>
      </w:tblGrid>
      <w:tr w:rsidR="00BD7A8E" w:rsidTr="00B375A6">
        <w:trPr>
          <w:trHeight w:val="1418"/>
        </w:trPr>
        <w:tc>
          <w:tcPr>
            <w:tcW w:w="4467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7A8E" w:rsidRDefault="00BD7A8E" w:rsidP="00B375A6">
            <w:pPr>
              <w:ind w:right="-213" w:firstLine="0"/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lang w:val="ba-RU"/>
              </w:rPr>
            </w:pPr>
            <w:bookmarkStart w:id="0" w:name="_GoBack"/>
            <w:bookmarkEnd w:id="0"/>
            <w:r>
              <w:rPr>
                <w:rFonts w:ascii="BelZAGZ" w:hAnsi="BelZAGZ" w:cs="BelZAGZ"/>
                <w:b/>
                <w:bCs/>
                <w:spacing w:val="36"/>
                <w:lang w:val="ba-RU"/>
              </w:rPr>
              <w:t>БАШ</w:t>
            </w:r>
            <w:r>
              <w:rPr>
                <w:rFonts w:ascii="BelZAGZ" w:hAnsi="BelZAGZ" w:cs="BelZAGZ"/>
                <w:b/>
                <w:bCs/>
                <w:spacing w:val="36"/>
                <w:sz w:val="28"/>
                <w:szCs w:val="28"/>
              </w:rPr>
              <w:t>3</w:t>
            </w:r>
            <w:r>
              <w:rPr>
                <w:rFonts w:ascii="BelZAGZ" w:hAnsi="BelZAGZ" w:cs="BelZAGZ"/>
                <w:b/>
                <w:bCs/>
                <w:spacing w:val="36"/>
                <w:lang w:val="ba-RU"/>
              </w:rPr>
              <w:t>ОРТОСТАН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</w:rPr>
              <w:t xml:space="preserve"> 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lang w:val="ba-RU"/>
              </w:rPr>
              <w:t>РЕСПУБЛИКАҺЫ</w:t>
            </w:r>
          </w:p>
          <w:p w:rsidR="00BD7A8E" w:rsidRDefault="00BD7A8E" w:rsidP="00B375A6">
            <w:pPr>
              <w:ind w:firstLine="0"/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  <w:t>ӘЛШӘЙ РАЙОНЫ</w:t>
            </w:r>
          </w:p>
          <w:p w:rsidR="00BD7A8E" w:rsidRDefault="00BD7A8E" w:rsidP="00B375A6">
            <w:pPr>
              <w:ind w:firstLine="0"/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  <w:t>МУНИЦИПАЛЬ РАЙОНЫНЫҢ</w:t>
            </w:r>
          </w:p>
          <w:p w:rsidR="00BD7A8E" w:rsidRDefault="00BD7A8E" w:rsidP="00B375A6">
            <w:pPr>
              <w:ind w:firstLine="0"/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</w:rPr>
              <w:t>ИБРАЙ</w:t>
            </w:r>
            <w:r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  <w:t xml:space="preserve"> АУЫЛ СОВЕТЫ</w:t>
            </w:r>
          </w:p>
          <w:p w:rsidR="00BD7A8E" w:rsidRPr="00AA57F9" w:rsidRDefault="00BD7A8E" w:rsidP="00B375A6">
            <w:pPr>
              <w:pStyle w:val="a8"/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</w:pPr>
            <w:r w:rsidRPr="00AA57F9"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BD7A8E" w:rsidRPr="00AA57F9" w:rsidRDefault="00BD7A8E" w:rsidP="00B375A6">
            <w:pPr>
              <w:pStyle w:val="a8"/>
              <w:jc w:val="center"/>
              <w:rPr>
                <w:rStyle w:val="a9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AA57F9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 xml:space="preserve">       </w:t>
            </w:r>
          </w:p>
          <w:p w:rsidR="00BD7A8E" w:rsidRPr="00AA57F9" w:rsidRDefault="00BD7A8E" w:rsidP="00B375A6">
            <w:pPr>
              <w:pStyle w:val="a8"/>
              <w:jc w:val="center"/>
              <w:rPr>
                <w:rStyle w:val="a9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AA57F9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 xml:space="preserve"> (</w:t>
            </w:r>
            <w:r w:rsidRPr="00AA57F9">
              <w:rPr>
                <w:rStyle w:val="a9"/>
                <w:rFonts w:ascii="BelZAGZ" w:hAnsi="BelZAGZ" w:cs="BelZAGZ"/>
                <w:sz w:val="16"/>
                <w:szCs w:val="16"/>
              </w:rPr>
              <w:t>БАШ</w:t>
            </w:r>
            <w:r w:rsidRPr="00AA57F9">
              <w:rPr>
                <w:rStyle w:val="a9"/>
                <w:rFonts w:ascii="BelZAGZ" w:hAnsi="BelZAGZ" w:cs="BelZAGZ"/>
              </w:rPr>
              <w:t>3</w:t>
            </w:r>
            <w:r w:rsidRPr="00AA57F9">
              <w:rPr>
                <w:rStyle w:val="a9"/>
                <w:rFonts w:ascii="BelZAGZ" w:hAnsi="BelZAGZ" w:cs="BelZAGZ"/>
                <w:sz w:val="16"/>
                <w:szCs w:val="16"/>
              </w:rPr>
              <w:t>ОРТОСТАН</w:t>
            </w:r>
            <w:r w:rsidRPr="00AA57F9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 xml:space="preserve">  РЕСПУБЛИКАҺЫ  ӘЛШӘЙ  РАЙОНЫ  ИБРАЙ  АУЫЛ  СОВЕТЫ)</w:t>
            </w:r>
          </w:p>
          <w:p w:rsidR="00BD7A8E" w:rsidRPr="00AA57F9" w:rsidRDefault="00BD7A8E" w:rsidP="00B375A6">
            <w:pPr>
              <w:pStyle w:val="a8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</w:p>
          <w:p w:rsidR="00BD7A8E" w:rsidRPr="00AA57F9" w:rsidRDefault="00BD7A8E" w:rsidP="00B375A6">
            <w:pPr>
              <w:pStyle w:val="a8"/>
              <w:jc w:val="center"/>
              <w:rPr>
                <w:rFonts w:ascii="Baskerville Old Face" w:hAnsi="Baskerville Old Face" w:cs="Baskerville Old Fac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7A8E" w:rsidRPr="00AA57F9" w:rsidRDefault="007F6ADF" w:rsidP="00B375A6">
            <w:pPr>
              <w:pStyle w:val="a6"/>
              <w:ind w:firstLine="0"/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 w:rsidRPr="00AA57F9">
              <w:rPr>
                <w:rFonts w:ascii="Baskerville Old Face" w:hAnsi="Baskerville Old Face" w:cs="Baskerville Old Face"/>
                <w:b/>
                <w:bCs/>
                <w:noProof/>
              </w:rPr>
              <w:drawing>
                <wp:inline distT="0" distB="0" distL="0" distR="0">
                  <wp:extent cx="714375" cy="8191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8E" w:rsidRDefault="00BD7A8E" w:rsidP="00B375A6">
            <w:pPr>
              <w:ind w:firstLine="0"/>
              <w:rPr>
                <w:rFonts w:ascii="a_Timer(15%) Bashkir" w:hAnsi="a_Timer(15%) Bashkir" w:cs="a_Timer(15%) Bashkir"/>
                <w:b/>
                <w:bCs/>
                <w:sz w:val="18"/>
                <w:szCs w:val="1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7A8E" w:rsidRDefault="00BD7A8E" w:rsidP="00B375A6">
            <w:pPr>
              <w:ind w:left="-47" w:right="-133" w:firstLine="12"/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  <w:t>СОВЕТ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</w:rPr>
              <w:t xml:space="preserve"> 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lang w:val="ba-RU"/>
              </w:rPr>
              <w:t>СЕЛЬСКОГО ПОСЕЛЕНИЯ</w:t>
            </w:r>
          </w:p>
          <w:p w:rsidR="00BD7A8E" w:rsidRDefault="00B53700" w:rsidP="00B375A6">
            <w:pPr>
              <w:ind w:firstLine="12"/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36"/>
              </w:rPr>
              <w:t>ИБРАЕВСКИЙ</w:t>
            </w:r>
            <w:r w:rsidR="00BD7A8E">
              <w:rPr>
                <w:rFonts w:ascii="a_Timer(15%) Bashkir" w:hAnsi="a_Timer(15%) Bashkir" w:cs="a_Timer(15%) Bashkir"/>
                <w:b/>
                <w:bCs/>
                <w:spacing w:val="36"/>
                <w:lang w:val="ba-RU"/>
              </w:rPr>
              <w:t xml:space="preserve"> СЕЛЬСОВЕТ</w:t>
            </w:r>
          </w:p>
          <w:p w:rsidR="00BD7A8E" w:rsidRDefault="00BD7A8E" w:rsidP="00B375A6">
            <w:pPr>
              <w:ind w:firstLine="12"/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  <w:t>МУНИЦИПАЛЬНОГО РАЙОНА</w:t>
            </w:r>
          </w:p>
          <w:p w:rsidR="00BD7A8E" w:rsidRDefault="00BD7A8E" w:rsidP="00B375A6">
            <w:pPr>
              <w:ind w:firstLine="12"/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lang w:val="ba-RU"/>
              </w:rPr>
              <w:t>АЛЬШЕЕВСКИЙ РАЙОН</w:t>
            </w:r>
          </w:p>
          <w:p w:rsidR="00BD7A8E" w:rsidRDefault="00BD7A8E" w:rsidP="00B375A6">
            <w:pPr>
              <w:ind w:firstLine="12"/>
              <w:jc w:val="center"/>
              <w:rPr>
                <w:rFonts w:ascii="a_Timer(15%) Bashkir" w:hAnsi="a_Timer(15%) Bashkir" w:cs="a_Timer(15%) Bashkir"/>
                <w:b/>
                <w:bCs/>
                <w:spacing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</w:rPr>
              <w:t>РЕСПУБЛИКИБАШКОРТОСТАН</w:t>
            </w:r>
          </w:p>
          <w:p w:rsidR="00BD7A8E" w:rsidRPr="00AA57F9" w:rsidRDefault="00BD7A8E" w:rsidP="00B375A6">
            <w:pPr>
              <w:pStyle w:val="a8"/>
              <w:ind w:firstLine="12"/>
              <w:jc w:val="center"/>
              <w:rPr>
                <w:rStyle w:val="a9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</w:p>
          <w:p w:rsidR="00BD7A8E" w:rsidRPr="00AA57F9" w:rsidRDefault="00BD7A8E" w:rsidP="00B375A6">
            <w:pPr>
              <w:pStyle w:val="a8"/>
              <w:ind w:firstLine="12"/>
              <w:jc w:val="center"/>
              <w:rPr>
                <w:rStyle w:val="a9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AA57F9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>(ИБ</w:t>
            </w:r>
            <w:r w:rsidR="00B53700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>ИБРАЕВСКИЙ</w:t>
            </w:r>
            <w:r w:rsidRPr="00AA57F9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BD7A8E" w:rsidRPr="00AA57F9" w:rsidRDefault="00BD7A8E" w:rsidP="00B375A6">
            <w:pPr>
              <w:pStyle w:val="a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D7A8E" w:rsidRDefault="00BD7A8E" w:rsidP="00BD7A8E">
      <w:pPr>
        <w:pStyle w:val="a6"/>
        <w:tabs>
          <w:tab w:val="clear" w:pos="4677"/>
          <w:tab w:val="clear" w:pos="9355"/>
          <w:tab w:val="left" w:pos="3228"/>
        </w:tabs>
        <w:rPr>
          <w:sz w:val="16"/>
          <w:szCs w:val="16"/>
          <w:lang w:val="ba-RU"/>
        </w:rPr>
      </w:pPr>
    </w:p>
    <w:p w:rsidR="00BD7A8E" w:rsidRPr="00E13011" w:rsidRDefault="00BD7A8E" w:rsidP="00BD7A8E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 w:cs="a_Timer(15%) Bashkir"/>
          <w:b/>
          <w:bCs/>
          <w:sz w:val="24"/>
          <w:szCs w:val="24"/>
          <w:lang w:val="ba-RU"/>
        </w:rPr>
      </w:pPr>
      <w:r w:rsidRPr="00E13011">
        <w:rPr>
          <w:rFonts w:ascii="BelZAGZ" w:hAnsi="BelZAGZ" w:cs="BelZAGZ"/>
          <w:b/>
          <w:bCs/>
          <w:sz w:val="36"/>
          <w:szCs w:val="36"/>
        </w:rPr>
        <w:t>3</w:t>
      </w:r>
      <w:r w:rsidRPr="00E13011">
        <w:rPr>
          <w:rFonts w:ascii="a_Timer(15%) Bashkir" w:hAnsi="a_Timer(15%) Bashkir" w:cs="a_Timer(15%) Bashkir"/>
          <w:b/>
          <w:bCs/>
          <w:sz w:val="24"/>
          <w:szCs w:val="24"/>
          <w:lang w:val="ba-RU"/>
        </w:rPr>
        <w:t xml:space="preserve">АРАР                                                     </w:t>
      </w:r>
      <w:r w:rsidRPr="00E13011">
        <w:rPr>
          <w:rFonts w:ascii="a_Timer(15%) Bashkir" w:hAnsi="a_Timer(15%) Bashkir" w:cs="a_Timer(15%) Bashkir"/>
          <w:b/>
          <w:bCs/>
          <w:sz w:val="24"/>
          <w:szCs w:val="24"/>
        </w:rPr>
        <w:t xml:space="preserve">          </w:t>
      </w:r>
      <w:r w:rsidRPr="00E13011">
        <w:rPr>
          <w:rFonts w:ascii="a_Timer(15%) Bashkir" w:hAnsi="a_Timer(15%) Bashkir" w:cs="a_Timer(15%) Bashkir"/>
          <w:b/>
          <w:bCs/>
          <w:sz w:val="24"/>
          <w:szCs w:val="24"/>
          <w:lang w:val="ba-RU"/>
        </w:rPr>
        <w:t>РЕШЕНИЕ</w:t>
      </w:r>
    </w:p>
    <w:p w:rsidR="00BD7A8E" w:rsidRPr="00E13011" w:rsidRDefault="00BD7A8E" w:rsidP="00BD7A8E">
      <w:pPr>
        <w:jc w:val="center"/>
        <w:rPr>
          <w:sz w:val="24"/>
          <w:szCs w:val="24"/>
        </w:rPr>
      </w:pPr>
      <w:r w:rsidRPr="00E13011">
        <w:rPr>
          <w:rFonts w:ascii="a_Timer(15%) Bashkir" w:hAnsi="a_Timer(15%) Bashkir" w:cs="a_Timer(15%) Bashkir"/>
          <w:b/>
          <w:bCs/>
          <w:sz w:val="24"/>
          <w:szCs w:val="24"/>
        </w:rPr>
        <w:t xml:space="preserve">14.11.2019 й.                               №  </w:t>
      </w:r>
      <w:r w:rsidR="00D53772">
        <w:rPr>
          <w:rFonts w:ascii="a_Timer(15%) Bashkir" w:hAnsi="a_Timer(15%) Bashkir" w:cs="a_Timer(15%) Bashkir"/>
          <w:b/>
          <w:bCs/>
          <w:sz w:val="24"/>
          <w:szCs w:val="24"/>
        </w:rPr>
        <w:t>27</w:t>
      </w:r>
      <w:r>
        <w:rPr>
          <w:rFonts w:ascii="a_Timer(15%) Bashkir" w:hAnsi="a_Timer(15%) Bashkir" w:cs="a_Timer(15%) Bashkir"/>
          <w:b/>
          <w:bCs/>
          <w:sz w:val="24"/>
          <w:szCs w:val="24"/>
        </w:rPr>
        <w:t xml:space="preserve"> </w:t>
      </w:r>
      <w:r w:rsidRPr="00E13011">
        <w:rPr>
          <w:rFonts w:ascii="a_Timer(15%) Bashkir" w:hAnsi="a_Timer(15%) Bashkir" w:cs="a_Timer(15%) Bashkir"/>
          <w:b/>
          <w:bCs/>
          <w:sz w:val="24"/>
          <w:szCs w:val="24"/>
        </w:rPr>
        <w:t xml:space="preserve">                        14.11.2019 г.</w:t>
      </w:r>
    </w:p>
    <w:p w:rsidR="004137BD" w:rsidRPr="002F0E9A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137BD" w:rsidRPr="002F0E9A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</w:t>
      </w:r>
      <w:r w:rsidR="00F331BB" w:rsidRPr="002F0E9A">
        <w:rPr>
          <w:sz w:val="28"/>
          <w:szCs w:val="28"/>
        </w:rPr>
        <w:t>Налогов</w:t>
      </w:r>
      <w:r w:rsidR="00F331BB">
        <w:rPr>
          <w:sz w:val="28"/>
          <w:szCs w:val="28"/>
        </w:rPr>
        <w:t>ым</w:t>
      </w:r>
      <w:r w:rsidR="00F331BB" w:rsidRPr="002F0E9A">
        <w:rPr>
          <w:sz w:val="28"/>
          <w:szCs w:val="28"/>
        </w:rPr>
        <w:t xml:space="preserve"> кодекс</w:t>
      </w:r>
      <w:r w:rsidR="00F331BB">
        <w:rPr>
          <w:sz w:val="28"/>
          <w:szCs w:val="28"/>
        </w:rPr>
        <w:t>ом</w:t>
      </w:r>
      <w:r w:rsidR="00F331BB" w:rsidRPr="002F0E9A">
        <w:rPr>
          <w:sz w:val="28"/>
          <w:szCs w:val="28"/>
        </w:rPr>
        <w:t xml:space="preserve"> Российской Федерации, </w:t>
      </w:r>
      <w:r w:rsidR="00215833"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 w:rsidR="00F331BB"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E14EFC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r w:rsidR="00B53700">
        <w:rPr>
          <w:sz w:val="28"/>
          <w:szCs w:val="28"/>
        </w:rPr>
        <w:t>Ибраевский</w:t>
      </w:r>
      <w:r w:rsidR="002F0E9A"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r w:rsidR="00B53700">
        <w:rPr>
          <w:sz w:val="28"/>
          <w:szCs w:val="28"/>
        </w:rPr>
        <w:t>Ибраевский</w:t>
      </w:r>
      <w:r w:rsidR="004137BD" w:rsidRPr="002F0E9A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r w:rsidR="00B53700">
        <w:rPr>
          <w:sz w:val="28"/>
          <w:szCs w:val="28"/>
        </w:rPr>
        <w:t>Ибраевский</w:t>
      </w:r>
      <w:r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 xml:space="preserve">, </w:t>
      </w:r>
      <w:r w:rsidR="007342C0">
        <w:rPr>
          <w:sz w:val="28"/>
          <w:szCs w:val="28"/>
        </w:rPr>
        <w:t>исходя из кадастровой стоимости объектов налогообложения</w:t>
      </w:r>
      <w:r w:rsidR="00787E8A">
        <w:rPr>
          <w:sz w:val="28"/>
          <w:szCs w:val="28"/>
        </w:rPr>
        <w:t>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442029">
        <w:rPr>
          <w:rFonts w:ascii="Times New Roman" w:hAnsi="Times New Roman" w:cs="Times New Roman"/>
          <w:sz w:val="28"/>
          <w:szCs w:val="28"/>
        </w:rPr>
        <w:t xml:space="preserve">в процентах от кадастровой </w:t>
      </w:r>
      <w:r w:rsidR="00442029"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 w:rsidR="00442029">
        <w:rPr>
          <w:rFonts w:ascii="Times New Roman" w:hAnsi="Times New Roman" w:cs="Times New Roman"/>
          <w:sz w:val="28"/>
          <w:szCs w:val="28"/>
        </w:rPr>
        <w:t xml:space="preserve">я </w:t>
      </w:r>
      <w:r w:rsidR="00D8480E" w:rsidRPr="00442029">
        <w:rPr>
          <w:rFonts w:ascii="Times New Roman" w:hAnsi="Times New Roman" w:cs="Times New Roman"/>
          <w:sz w:val="28"/>
          <w:szCs w:val="28"/>
        </w:rPr>
        <w:t>в следующих</w:t>
      </w:r>
      <w:r w:rsidR="00D8480E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 w:rsidR="00367101"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707B55" w:rsidRDefault="00707B55" w:rsidP="00707B55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</w:t>
      </w:r>
      <w:r w:rsidR="00707B55"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="00707B55" w:rsidRPr="00367101">
        <w:rPr>
          <w:sz w:val="28"/>
          <w:szCs w:val="28"/>
        </w:rPr>
        <w:t xml:space="preserve">в </w:t>
      </w:r>
      <w:hyperlink r:id="rId6" w:history="1">
        <w:r w:rsidR="00707B55" w:rsidRPr="00367101">
          <w:rPr>
            <w:sz w:val="28"/>
            <w:szCs w:val="28"/>
          </w:rPr>
          <w:t>подпункте 2</w:t>
        </w:r>
      </w:hyperlink>
      <w:r w:rsidR="00707B55">
        <w:rPr>
          <w:sz w:val="28"/>
          <w:szCs w:val="28"/>
        </w:rPr>
        <w:t xml:space="preserve"> настоящего пункта;</w:t>
      </w:r>
    </w:p>
    <w:p w:rsidR="00250666" w:rsidRPr="00250666" w:rsidRDefault="00250666" w:rsidP="00250666">
      <w:pPr>
        <w:widowControl/>
        <w:spacing w:line="240" w:lineRule="auto"/>
        <w:ind w:firstLine="540"/>
        <w:rPr>
          <w:bCs/>
          <w:sz w:val="28"/>
          <w:szCs w:val="28"/>
        </w:rPr>
      </w:pPr>
      <w:r w:rsidRPr="00250666">
        <w:rPr>
          <w:bCs/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t>2</w:t>
      </w:r>
      <w:r w:rsidR="00367101">
        <w:rPr>
          <w:sz w:val="28"/>
          <w:szCs w:val="28"/>
        </w:rPr>
        <w:t xml:space="preserve">)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7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8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2F0E9A" w:rsidRDefault="000D2C16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 w:rsidR="00367101">
        <w:rPr>
          <w:sz w:val="28"/>
          <w:szCs w:val="28"/>
        </w:rPr>
        <w:t xml:space="preserve">) </w:t>
      </w:r>
      <w:r w:rsidR="000C54D4" w:rsidRPr="002F0E9A">
        <w:rPr>
          <w:sz w:val="28"/>
          <w:szCs w:val="28"/>
        </w:rPr>
        <w:t xml:space="preserve">0,5 процента </w:t>
      </w:r>
      <w:r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2F0E9A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B53700">
        <w:rPr>
          <w:rFonts w:ascii="Times New Roman" w:hAnsi="Times New Roman" w:cs="Times New Roman"/>
          <w:sz w:val="28"/>
          <w:szCs w:val="28"/>
        </w:rPr>
        <w:t>Ибраевский</w:t>
      </w:r>
      <w:r w:rsidR="009E297A"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r w:rsidR="009E297A" w:rsidRPr="00BD7A8E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2B11A1" w:rsidRPr="00BD7A8E">
        <w:rPr>
          <w:rFonts w:ascii="Times New Roman" w:hAnsi="Times New Roman" w:cs="Times New Roman"/>
          <w:sz w:val="28"/>
          <w:szCs w:val="28"/>
        </w:rPr>
        <w:t xml:space="preserve">от </w:t>
      </w:r>
      <w:r w:rsidR="00BD7A8E" w:rsidRPr="00BD7A8E">
        <w:rPr>
          <w:rFonts w:ascii="Times New Roman" w:hAnsi="Times New Roman" w:cs="Times New Roman"/>
          <w:sz w:val="28"/>
          <w:szCs w:val="28"/>
        </w:rPr>
        <w:t>28</w:t>
      </w:r>
      <w:r w:rsidR="002B11A1" w:rsidRPr="00BD7A8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67101" w:rsidRPr="00BD7A8E">
        <w:rPr>
          <w:rFonts w:ascii="Times New Roman" w:hAnsi="Times New Roman" w:cs="Times New Roman"/>
          <w:sz w:val="28"/>
          <w:szCs w:val="28"/>
        </w:rPr>
        <w:t xml:space="preserve"> 201</w:t>
      </w:r>
      <w:r w:rsidR="000322ED" w:rsidRPr="00BD7A8E">
        <w:rPr>
          <w:rFonts w:ascii="Times New Roman" w:hAnsi="Times New Roman" w:cs="Times New Roman"/>
          <w:sz w:val="28"/>
          <w:szCs w:val="28"/>
        </w:rPr>
        <w:t>8</w:t>
      </w:r>
      <w:r w:rsidR="002B11A1" w:rsidRPr="00BD7A8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7A8E">
        <w:rPr>
          <w:rFonts w:ascii="Times New Roman" w:hAnsi="Times New Roman" w:cs="Times New Roman"/>
          <w:sz w:val="28"/>
          <w:szCs w:val="28"/>
        </w:rPr>
        <w:t>179</w:t>
      </w:r>
      <w:r w:rsidR="002B11A1" w:rsidRPr="009E297A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4137BD" w:rsidRPr="002F0E9A" w:rsidRDefault="002B11A1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34DA" w:rsidRPr="002F0E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 w:rsidRPr="002F0E9A">
        <w:rPr>
          <w:rFonts w:ascii="Times New Roman" w:hAnsi="Times New Roman" w:cs="Times New Roman"/>
          <w:sz w:val="28"/>
          <w:szCs w:val="28"/>
        </w:rPr>
        <w:t>Р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ешение обнародовать </w:t>
      </w:r>
      <w:r w:rsidR="00BD7A8E" w:rsidRPr="00796A28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сельсовета и </w:t>
      </w:r>
      <w:r w:rsidR="00BD7A8E" w:rsidRPr="00796A28">
        <w:rPr>
          <w:rFonts w:ascii="Times New Roman" w:hAnsi="Times New Roman" w:cs="Times New Roman"/>
          <w:spacing w:val="-1"/>
          <w:sz w:val="28"/>
          <w:szCs w:val="26"/>
        </w:rPr>
        <w:t>в Ибраевской  сельской библиотеке-филиале  муниципального  бюджетного учреждения культуры «Альшеевская межпоселенческая центральная библиотека» муниципального района Альшеевский район Республики Башкортостан</w:t>
      </w:r>
      <w:r w:rsidR="00BD7A8E" w:rsidRPr="00796A28">
        <w:rPr>
          <w:rFonts w:ascii="Times New Roman" w:hAnsi="Times New Roman" w:cs="Times New Roman"/>
          <w:sz w:val="28"/>
          <w:szCs w:val="28"/>
        </w:rPr>
        <w:t>, разместить на официальн</w:t>
      </w:r>
      <w:r w:rsidR="009C38FE">
        <w:rPr>
          <w:rFonts w:ascii="Times New Roman" w:hAnsi="Times New Roman" w:cs="Times New Roman"/>
          <w:sz w:val="28"/>
          <w:szCs w:val="28"/>
        </w:rPr>
        <w:t xml:space="preserve">ом сайте сельского поселения  </w:t>
      </w:r>
      <w:r w:rsidR="00B53700">
        <w:rPr>
          <w:rFonts w:ascii="Times New Roman" w:hAnsi="Times New Roman" w:cs="Times New Roman"/>
          <w:sz w:val="28"/>
          <w:szCs w:val="28"/>
        </w:rPr>
        <w:t>Ибраевский</w:t>
      </w:r>
      <w:r w:rsidR="00BD7A8E" w:rsidRPr="00796A28"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="00BD7A8E" w:rsidRPr="00796A28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BD7A8E" w:rsidRPr="00796A28">
        <w:rPr>
          <w:rFonts w:ascii="Times New Roman" w:hAnsi="Times New Roman" w:cs="Times New Roman"/>
          <w:sz w:val="28"/>
          <w:szCs w:val="28"/>
        </w:rPr>
        <w:t xml:space="preserve">Альшеевский район </w:t>
      </w:r>
      <w:r w:rsidR="00BD7A8E" w:rsidRPr="00796A28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="00135A36" w:rsidRPr="002F0E9A">
        <w:rPr>
          <w:rFonts w:ascii="Times New Roman" w:hAnsi="Times New Roman" w:cs="Times New Roman"/>
          <w:sz w:val="28"/>
          <w:szCs w:val="28"/>
        </w:rPr>
        <w:t>не позднее 30 ноября 201</w:t>
      </w:r>
      <w:r w:rsidR="000322ED">
        <w:rPr>
          <w:rFonts w:ascii="Times New Roman" w:hAnsi="Times New Roman" w:cs="Times New Roman"/>
          <w:sz w:val="28"/>
          <w:szCs w:val="28"/>
        </w:rPr>
        <w:t>9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</w:t>
      </w:r>
      <w:r w:rsidR="004137B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0322ED">
        <w:rPr>
          <w:rFonts w:ascii="Times New Roman" w:hAnsi="Times New Roman" w:cs="Times New Roman"/>
          <w:sz w:val="28"/>
          <w:szCs w:val="28"/>
        </w:rPr>
        <w:t>20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2F0E9A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A8E" w:rsidRPr="009E4C02" w:rsidRDefault="00BD7A8E" w:rsidP="00BD7A8E">
      <w:pPr>
        <w:rPr>
          <w:sz w:val="28"/>
          <w:szCs w:val="28"/>
        </w:rPr>
      </w:pPr>
      <w:r w:rsidRPr="00191971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>Р.Р.Еникеев</w:t>
      </w:r>
      <w:r w:rsidRPr="00191971">
        <w:rPr>
          <w:sz w:val="28"/>
          <w:szCs w:val="28"/>
        </w:rPr>
        <w:t xml:space="preserve">                 </w:t>
      </w:r>
    </w:p>
    <w:p w:rsidR="00BD7A8E" w:rsidRPr="00165AD3" w:rsidRDefault="00BD7A8E" w:rsidP="00BD7A8E">
      <w:pPr>
        <w:pStyle w:val="a8"/>
      </w:pPr>
      <w:r w:rsidRPr="00165AD3">
        <w:t>с. Новосепяшево</w:t>
      </w:r>
    </w:p>
    <w:p w:rsidR="00BD7A8E" w:rsidRPr="00165AD3" w:rsidRDefault="00BD7A8E" w:rsidP="00BD7A8E">
      <w:pPr>
        <w:pStyle w:val="a8"/>
      </w:pPr>
      <w:r w:rsidRPr="00165AD3">
        <w:t xml:space="preserve"> от «</w:t>
      </w:r>
      <w:r>
        <w:t xml:space="preserve"> 14</w:t>
      </w:r>
      <w:r w:rsidRPr="00165AD3">
        <w:t xml:space="preserve">»  </w:t>
      </w:r>
      <w:r>
        <w:t xml:space="preserve">ноября </w:t>
      </w:r>
      <w:r w:rsidRPr="00165AD3">
        <w:t xml:space="preserve"> 201</w:t>
      </w:r>
      <w:r>
        <w:t xml:space="preserve">9 </w:t>
      </w:r>
      <w:r w:rsidRPr="00165AD3">
        <w:t>г</w:t>
      </w:r>
    </w:p>
    <w:p w:rsidR="00BD7A8E" w:rsidRPr="00E13011" w:rsidRDefault="00BD7A8E" w:rsidP="00BD7A8E">
      <w:pPr>
        <w:pStyle w:val="a8"/>
        <w:rPr>
          <w:color w:val="FF0000"/>
        </w:rPr>
      </w:pPr>
      <w:r w:rsidRPr="00165AD3">
        <w:t xml:space="preserve">№ </w:t>
      </w:r>
      <w:r>
        <w:t xml:space="preserve">  </w:t>
      </w:r>
      <w:r w:rsidR="00D53772">
        <w:t>27</w:t>
      </w:r>
    </w:p>
    <w:p w:rsidR="00930459" w:rsidRPr="002F0E9A" w:rsidRDefault="00930459" w:rsidP="00BD7A8E">
      <w:pPr>
        <w:spacing w:before="20" w:line="240" w:lineRule="auto"/>
        <w:ind w:firstLine="0"/>
        <w:rPr>
          <w:sz w:val="28"/>
          <w:szCs w:val="28"/>
        </w:rPr>
      </w:pPr>
    </w:p>
    <w:sectPr w:rsidR="00930459" w:rsidRPr="002F0E9A" w:rsidSect="00DB7596">
      <w:pgSz w:w="11907" w:h="16840" w:code="9"/>
      <w:pgMar w:top="851" w:right="102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elZAGZ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?????¬рЎю¬У?Ўю¬в?¬рЎюҐм??Ўю¬в?¬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256A4"/>
    <w:rsid w:val="000322ED"/>
    <w:rsid w:val="00053CE3"/>
    <w:rsid w:val="00073046"/>
    <w:rsid w:val="00073E26"/>
    <w:rsid w:val="00086D64"/>
    <w:rsid w:val="000972EA"/>
    <w:rsid w:val="00097484"/>
    <w:rsid w:val="000A2B4A"/>
    <w:rsid w:val="000C54D4"/>
    <w:rsid w:val="000D2C16"/>
    <w:rsid w:val="0010225E"/>
    <w:rsid w:val="00113F51"/>
    <w:rsid w:val="00115051"/>
    <w:rsid w:val="00135A36"/>
    <w:rsid w:val="00136ED7"/>
    <w:rsid w:val="00142444"/>
    <w:rsid w:val="0014583E"/>
    <w:rsid w:val="00165AD3"/>
    <w:rsid w:val="0018665F"/>
    <w:rsid w:val="0019094B"/>
    <w:rsid w:val="00191971"/>
    <w:rsid w:val="00200008"/>
    <w:rsid w:val="00215833"/>
    <w:rsid w:val="0024698D"/>
    <w:rsid w:val="00250666"/>
    <w:rsid w:val="002B11A1"/>
    <w:rsid w:val="002F0E9A"/>
    <w:rsid w:val="002F2A5B"/>
    <w:rsid w:val="0031753E"/>
    <w:rsid w:val="00324416"/>
    <w:rsid w:val="003665D7"/>
    <w:rsid w:val="00366EBA"/>
    <w:rsid w:val="00367101"/>
    <w:rsid w:val="00374571"/>
    <w:rsid w:val="003E0096"/>
    <w:rsid w:val="003E0F3F"/>
    <w:rsid w:val="003F39E3"/>
    <w:rsid w:val="00401099"/>
    <w:rsid w:val="004137BD"/>
    <w:rsid w:val="00442029"/>
    <w:rsid w:val="00444A3C"/>
    <w:rsid w:val="00451A82"/>
    <w:rsid w:val="00486E64"/>
    <w:rsid w:val="0049723C"/>
    <w:rsid w:val="004D43B7"/>
    <w:rsid w:val="004E77FD"/>
    <w:rsid w:val="004F66C7"/>
    <w:rsid w:val="00510320"/>
    <w:rsid w:val="00523910"/>
    <w:rsid w:val="00551B53"/>
    <w:rsid w:val="005A0B16"/>
    <w:rsid w:val="005A1A91"/>
    <w:rsid w:val="005A5035"/>
    <w:rsid w:val="005B7729"/>
    <w:rsid w:val="005E077D"/>
    <w:rsid w:val="005F274C"/>
    <w:rsid w:val="006043F8"/>
    <w:rsid w:val="006262D2"/>
    <w:rsid w:val="00637A81"/>
    <w:rsid w:val="00644207"/>
    <w:rsid w:val="006444F4"/>
    <w:rsid w:val="007048CA"/>
    <w:rsid w:val="00707B55"/>
    <w:rsid w:val="007342C0"/>
    <w:rsid w:val="00763DF2"/>
    <w:rsid w:val="00773445"/>
    <w:rsid w:val="00787E8A"/>
    <w:rsid w:val="00796270"/>
    <w:rsid w:val="00796A28"/>
    <w:rsid w:val="007A5753"/>
    <w:rsid w:val="007F57D2"/>
    <w:rsid w:val="007F6ADF"/>
    <w:rsid w:val="00800791"/>
    <w:rsid w:val="00802E24"/>
    <w:rsid w:val="0081441A"/>
    <w:rsid w:val="008429E6"/>
    <w:rsid w:val="008503DB"/>
    <w:rsid w:val="0085423A"/>
    <w:rsid w:val="008656F6"/>
    <w:rsid w:val="00873A2B"/>
    <w:rsid w:val="00881357"/>
    <w:rsid w:val="00882D90"/>
    <w:rsid w:val="008A76F6"/>
    <w:rsid w:val="008B343E"/>
    <w:rsid w:val="008F1C00"/>
    <w:rsid w:val="009020C8"/>
    <w:rsid w:val="00930459"/>
    <w:rsid w:val="009305CC"/>
    <w:rsid w:val="0095201A"/>
    <w:rsid w:val="00954874"/>
    <w:rsid w:val="00984BAC"/>
    <w:rsid w:val="00993459"/>
    <w:rsid w:val="0099742B"/>
    <w:rsid w:val="009B6A01"/>
    <w:rsid w:val="009C1C99"/>
    <w:rsid w:val="009C38FE"/>
    <w:rsid w:val="009D6861"/>
    <w:rsid w:val="009E0810"/>
    <w:rsid w:val="009E297A"/>
    <w:rsid w:val="009E4C02"/>
    <w:rsid w:val="009F6AD2"/>
    <w:rsid w:val="00A22E14"/>
    <w:rsid w:val="00A30DF6"/>
    <w:rsid w:val="00A4082E"/>
    <w:rsid w:val="00A71DA0"/>
    <w:rsid w:val="00A82192"/>
    <w:rsid w:val="00A83505"/>
    <w:rsid w:val="00A90130"/>
    <w:rsid w:val="00A90DFA"/>
    <w:rsid w:val="00AA57F9"/>
    <w:rsid w:val="00AC7B36"/>
    <w:rsid w:val="00AD62AA"/>
    <w:rsid w:val="00AE2EAC"/>
    <w:rsid w:val="00AF2CF6"/>
    <w:rsid w:val="00B02744"/>
    <w:rsid w:val="00B02D64"/>
    <w:rsid w:val="00B375A6"/>
    <w:rsid w:val="00B430C1"/>
    <w:rsid w:val="00B4644F"/>
    <w:rsid w:val="00B53700"/>
    <w:rsid w:val="00B56995"/>
    <w:rsid w:val="00B71209"/>
    <w:rsid w:val="00B759EF"/>
    <w:rsid w:val="00BB0171"/>
    <w:rsid w:val="00BC677E"/>
    <w:rsid w:val="00BD7A8E"/>
    <w:rsid w:val="00BE61C9"/>
    <w:rsid w:val="00BF460D"/>
    <w:rsid w:val="00BF600D"/>
    <w:rsid w:val="00C21B4B"/>
    <w:rsid w:val="00C272E7"/>
    <w:rsid w:val="00C346DA"/>
    <w:rsid w:val="00C36605"/>
    <w:rsid w:val="00C36F96"/>
    <w:rsid w:val="00C41CCA"/>
    <w:rsid w:val="00C6030D"/>
    <w:rsid w:val="00C767FC"/>
    <w:rsid w:val="00CA19F0"/>
    <w:rsid w:val="00D00499"/>
    <w:rsid w:val="00D214BE"/>
    <w:rsid w:val="00D45D20"/>
    <w:rsid w:val="00D53772"/>
    <w:rsid w:val="00D61695"/>
    <w:rsid w:val="00D63E72"/>
    <w:rsid w:val="00D80265"/>
    <w:rsid w:val="00D8480E"/>
    <w:rsid w:val="00D97363"/>
    <w:rsid w:val="00DB7596"/>
    <w:rsid w:val="00DC7908"/>
    <w:rsid w:val="00DD500F"/>
    <w:rsid w:val="00DF34DA"/>
    <w:rsid w:val="00E00C69"/>
    <w:rsid w:val="00E11F5C"/>
    <w:rsid w:val="00E13011"/>
    <w:rsid w:val="00E14EFC"/>
    <w:rsid w:val="00E56551"/>
    <w:rsid w:val="00E66039"/>
    <w:rsid w:val="00E71978"/>
    <w:rsid w:val="00E804A1"/>
    <w:rsid w:val="00EC0D3E"/>
    <w:rsid w:val="00EE0377"/>
    <w:rsid w:val="00EE2B9A"/>
    <w:rsid w:val="00EF5986"/>
    <w:rsid w:val="00F16A6E"/>
    <w:rsid w:val="00F331BB"/>
    <w:rsid w:val="00F333F4"/>
    <w:rsid w:val="00F92402"/>
    <w:rsid w:val="00F94A15"/>
    <w:rsid w:val="00FC1AEC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53A643-1357-4C00-BB36-500CC3D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BD7A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D7A8E"/>
    <w:rPr>
      <w:rFonts w:cs="Times New Roman"/>
      <w:sz w:val="20"/>
      <w:szCs w:val="20"/>
    </w:rPr>
  </w:style>
  <w:style w:type="paragraph" w:styleId="a8">
    <w:name w:val="No Spacing"/>
    <w:uiPriority w:val="99"/>
    <w:qFormat/>
    <w:rsid w:val="00BD7A8E"/>
    <w:pPr>
      <w:spacing w:after="0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BD7A8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B08D9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72D32DD31EF0CAC7976F66B8020DACE1440631706DDE418F577666EBFDBCAA06859EEAE0FD9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2019-11-28T12:30:00Z</cp:lastPrinted>
  <dcterms:created xsi:type="dcterms:W3CDTF">2019-12-10T10:39:00Z</dcterms:created>
  <dcterms:modified xsi:type="dcterms:W3CDTF">2019-12-10T10:39:00Z</dcterms:modified>
</cp:coreProperties>
</file>